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37" w:rsidRDefault="00AF5F37" w:rsidP="008E597F">
      <w:r>
        <w:rPr>
          <w:rFonts w:ascii="Corbel-Bold" w:hAnsi="Corbel-Bold" w:cs="Corbel-Bold"/>
          <w:b/>
          <w:bCs/>
          <w:color w:val="003478"/>
          <w:sz w:val="24"/>
          <w:szCs w:val="24"/>
        </w:rPr>
        <w:t>Rejestracje samochodów osobowych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 xml:space="preserve">: ‐25.6% 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>I kw.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>2020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 xml:space="preserve"> r.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 xml:space="preserve">; ‐55.1% </w:t>
      </w:r>
      <w:r>
        <w:rPr>
          <w:rFonts w:ascii="Corbel-Bold" w:hAnsi="Corbel-Bold" w:cs="Corbel-Bold"/>
          <w:b/>
          <w:bCs/>
          <w:color w:val="003478"/>
          <w:sz w:val="24"/>
          <w:szCs w:val="24"/>
        </w:rPr>
        <w:t>w marcu.</w:t>
      </w:r>
    </w:p>
    <w:p w:rsidR="008E597F" w:rsidRDefault="008E597F" w:rsidP="008E597F">
      <w:r>
        <w:t>W marcu 2020 r. n</w:t>
      </w:r>
      <w:r>
        <w:t>a rynku samochodów osobowych w UE odnotowano dramatyczny spadek</w:t>
      </w:r>
      <w:r>
        <w:t xml:space="preserve"> (-55,1%) liczby rejestracji na </w:t>
      </w:r>
      <w:r>
        <w:t>nowe pojazdy w wyniku wybuchu COVID-19.</w:t>
      </w:r>
    </w:p>
    <w:p w:rsidR="008E597F" w:rsidRDefault="008E597F" w:rsidP="008E597F">
      <w:r>
        <w:t xml:space="preserve"> Wraz z</w:t>
      </w:r>
      <w:r>
        <w:t xml:space="preserve"> podjęciem środkó</w:t>
      </w:r>
      <w:r>
        <w:t xml:space="preserve">w ograniczających / blokujących </w:t>
      </w:r>
      <w:r>
        <w:t>utrzymują</w:t>
      </w:r>
      <w:r>
        <w:t>cych</w:t>
      </w:r>
      <w:r>
        <w:t xml:space="preserve"> się na większości rynków od około połowy miesiąca, </w:t>
      </w:r>
      <w:r>
        <w:t>zdecydowana większość europe</w:t>
      </w:r>
      <w:r w:rsidR="00AF5F37">
        <w:t>jskich salonów sprzedaży została zamknięta</w:t>
      </w:r>
      <w:r>
        <w:t xml:space="preserve"> w drugiej połowie marca.</w:t>
      </w:r>
    </w:p>
    <w:p w:rsidR="008E597F" w:rsidRDefault="008E597F" w:rsidP="008E597F">
      <w:r>
        <w:t xml:space="preserve"> W związ</w:t>
      </w:r>
      <w:r>
        <w:t>ku z tym popyt w całym regionie spadł</w:t>
      </w:r>
      <w:r>
        <w:t xml:space="preserve"> o ponad poło</w:t>
      </w:r>
      <w:r>
        <w:t xml:space="preserve">wę w zeszłym miesiącu, </w:t>
      </w:r>
      <w:r>
        <w:t>z 1 264 569</w:t>
      </w:r>
      <w:r>
        <w:t xml:space="preserve"> szt.</w:t>
      </w:r>
      <w:r>
        <w:t xml:space="preserve"> zarejestrowanych w marcu 2019 r. do 567</w:t>
      </w:r>
      <w:r>
        <w:t> </w:t>
      </w:r>
      <w:r>
        <w:t>308</w:t>
      </w:r>
      <w:r>
        <w:t xml:space="preserve"> szt. w marcu b.r.</w:t>
      </w:r>
    </w:p>
    <w:p w:rsidR="008E597F" w:rsidRDefault="008E597F" w:rsidP="008E597F">
      <w:r>
        <w:t>Wszystkie 27 rynków UE skurczyło się w marcu, ale Włochy ucierpiały najbardziej, a liczba</w:t>
      </w:r>
      <w:r>
        <w:t xml:space="preserve"> ich</w:t>
      </w:r>
      <w:r>
        <w:t xml:space="preserve"> rejestracji spadła</w:t>
      </w:r>
      <w:r>
        <w:t xml:space="preserve"> o </w:t>
      </w:r>
      <w:r>
        <w:t>85,4% do 28 326 nowych samochodów (w porównaniu do 194 302 sztuk w marcu 2019 r.). Po</w:t>
      </w:r>
      <w:r w:rsidR="00396049">
        <w:t xml:space="preserve">dobnie popyt </w:t>
      </w:r>
      <w:r>
        <w:t xml:space="preserve">załamał się we Francji (-72,2%) i Hiszpanii (-69,3%) w zeszłym miesiącu. Niemcy </w:t>
      </w:r>
      <w:r w:rsidR="00396049">
        <w:t xml:space="preserve">zanotowały mniej skrajny spadek </w:t>
      </w:r>
      <w:r>
        <w:t>niż na innych kluczowych rynkach, ale rejestracje spadły o 37,7%.</w:t>
      </w:r>
    </w:p>
    <w:p w:rsidR="00396049" w:rsidRDefault="00396049" w:rsidP="008E597F">
      <w:r>
        <w:t>Od stycznia do marca 2020 r. p</w:t>
      </w:r>
      <w:r w:rsidR="008E597F">
        <w:t>opyt na nowe samochody w Unii Europe</w:t>
      </w:r>
      <w:r>
        <w:t xml:space="preserve">jskiej spadł o 25,6%, przy czym marcowy kryzys korono wirusa miał </w:t>
      </w:r>
      <w:r w:rsidR="008E597F">
        <w:t xml:space="preserve"> znaczny wpływ na całość</w:t>
      </w:r>
      <w:r>
        <w:t xml:space="preserve"> wyniku</w:t>
      </w:r>
      <w:r w:rsidR="008E597F">
        <w:t>.</w:t>
      </w:r>
    </w:p>
    <w:p w:rsidR="008E597F" w:rsidRDefault="00396049" w:rsidP="008E597F">
      <w:r>
        <w:t xml:space="preserve"> Każdy z głównych  rynków </w:t>
      </w:r>
      <w:r>
        <w:t>UE</w:t>
      </w:r>
      <w:r>
        <w:t xml:space="preserve"> odnotował</w:t>
      </w:r>
      <w:r w:rsidR="008E597F">
        <w:t xml:space="preserve"> znaczne </w:t>
      </w:r>
      <w:r w:rsidR="00AF5F37">
        <w:t>spadki</w:t>
      </w:r>
      <w:r w:rsidR="00AF5F37" w:rsidRPr="00AF5F37">
        <w:t xml:space="preserve"> </w:t>
      </w:r>
      <w:r w:rsidR="00AF5F37">
        <w:t>do ​​tej pory</w:t>
      </w:r>
      <w:r w:rsidR="00AF5F37">
        <w:t xml:space="preserve"> </w:t>
      </w:r>
      <w:r w:rsidR="008E597F">
        <w:t>w 2020 r .: Włochy - 35,5%, Fra</w:t>
      </w:r>
      <w:r>
        <w:t xml:space="preserve">ncja - 34,1%, Hiszpania - 31% i </w:t>
      </w:r>
      <w:r w:rsidR="008E597F">
        <w:t>Niemcy -20,3%.</w:t>
      </w:r>
    </w:p>
    <w:p w:rsidR="00054239" w:rsidRDefault="00054239" w:rsidP="008E597F">
      <w:bookmarkStart w:id="0" w:name="_GoBack"/>
      <w:bookmarkEnd w:id="0"/>
    </w:p>
    <w:p w:rsidR="00054239" w:rsidRDefault="00054239" w:rsidP="008E597F"/>
    <w:p w:rsidR="00924A60" w:rsidRDefault="008E597F" w:rsidP="008E597F">
      <w:r>
        <w:t>1</w:t>
      </w:r>
      <w:r w:rsidR="00AF5F37">
        <w:t>.</w:t>
      </w:r>
      <w:r>
        <w:t xml:space="preserve"> </w:t>
      </w:r>
      <w:r w:rsidRPr="00054239">
        <w:rPr>
          <w:sz w:val="18"/>
          <w:szCs w:val="18"/>
        </w:rPr>
        <w:t xml:space="preserve">Unia Europejska odnosi się do nowego składu z 27 państwami członkowskimi (z wyłączeniem Wielkiej Brytanii). </w:t>
      </w:r>
      <w:r w:rsidR="00AF5F37" w:rsidRPr="00054239">
        <w:rPr>
          <w:sz w:val="18"/>
          <w:szCs w:val="18"/>
        </w:rPr>
        <w:t>Dane historyczne zostały dostoswane do nowych parametrów EU27.</w:t>
      </w:r>
    </w:p>
    <w:sectPr w:rsidR="0092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-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7F"/>
    <w:rsid w:val="00054239"/>
    <w:rsid w:val="00396049"/>
    <w:rsid w:val="008E597F"/>
    <w:rsid w:val="00924A60"/>
    <w:rsid w:val="00A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Ewa_Szelag</dc:creator>
  <cp:lastModifiedBy>Ewa_Szelag</cp:lastModifiedBy>
  <cp:revision>2</cp:revision>
  <dcterms:created xsi:type="dcterms:W3CDTF">2020-04-16T16:33:00Z</dcterms:created>
  <dcterms:modified xsi:type="dcterms:W3CDTF">2020-04-16T17:04:00Z</dcterms:modified>
</cp:coreProperties>
</file>